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91" w:rsidRDefault="00C47064">
      <w:r>
        <w:rPr>
          <w:rFonts w:ascii="Arial" w:hAnsi="Arial" w:cs="Arial"/>
          <w:color w:val="222222"/>
          <w:shd w:val="clear" w:color="auto" w:fill="FFFFFF"/>
        </w:rPr>
        <w:t>Title: How Can We facilitate Kansei Value Creation? (tentative)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Short biography: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Hiroko Shoji received B.S., M.S. and Ph.D. degrees in Engineering from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University of Tokyo, Japan, in 1989, 1991, and 2002, respectively.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She has been an Associate Professor since 2004, and she is currently a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Professor since 2011 at Chuo University, Japan. Her research interests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include understanding and support of process of thinking including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ambiguity, construction of dynamic sensibility model and engineering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application. She is currently president of Japan Society of Kansei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Engineering.</w:t>
      </w:r>
      <w:bookmarkStart w:id="0" w:name="_GoBack"/>
      <w:bookmarkEnd w:id="0"/>
    </w:p>
    <w:sectPr w:rsidR="0044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85"/>
    <w:rsid w:val="00441191"/>
    <w:rsid w:val="007C3585"/>
    <w:rsid w:val="00C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A3B9-3589-4E24-8B23-0863951F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2019-03-16T07:49:00Z</dcterms:created>
  <dcterms:modified xsi:type="dcterms:W3CDTF">2019-03-16T07:49:00Z</dcterms:modified>
</cp:coreProperties>
</file>